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3510"/>
        <w:gridCol w:w="5468"/>
      </w:tblGrid>
      <w:tr w:rsidR="00973057" w:rsidRPr="001F247C" w:rsidTr="00973057">
        <w:tc>
          <w:tcPr>
            <w:tcW w:w="3510" w:type="dxa"/>
          </w:tcPr>
          <w:p w:rsidR="00973057" w:rsidRPr="001F247C" w:rsidRDefault="00973057" w:rsidP="00973057">
            <w:pPr>
              <w:jc w:val="center"/>
              <w:rPr>
                <w:rFonts w:ascii="Arial" w:hAnsi="Arial" w:cs="Arial"/>
                <w:b/>
                <w:sz w:val="24"/>
                <w:szCs w:val="24"/>
              </w:rPr>
            </w:pPr>
            <w:r w:rsidRPr="001F247C">
              <w:rPr>
                <w:rFonts w:ascii="Arial" w:hAnsi="Arial" w:cs="Arial"/>
                <w:b/>
                <w:sz w:val="24"/>
                <w:szCs w:val="24"/>
              </w:rPr>
              <w:t>CATEGORIA</w:t>
            </w:r>
          </w:p>
        </w:tc>
        <w:tc>
          <w:tcPr>
            <w:tcW w:w="5468" w:type="dxa"/>
          </w:tcPr>
          <w:p w:rsidR="00973057" w:rsidRPr="001F247C" w:rsidRDefault="00973057" w:rsidP="00973057">
            <w:pPr>
              <w:jc w:val="center"/>
              <w:rPr>
                <w:rFonts w:ascii="Arial" w:hAnsi="Arial" w:cs="Arial"/>
                <w:b/>
                <w:sz w:val="24"/>
                <w:szCs w:val="24"/>
              </w:rPr>
            </w:pPr>
            <w:r w:rsidRPr="001F247C">
              <w:rPr>
                <w:rFonts w:ascii="Arial" w:hAnsi="Arial" w:cs="Arial"/>
                <w:b/>
                <w:sz w:val="24"/>
                <w:szCs w:val="24"/>
              </w:rPr>
              <w:t>VIABILIDAD</w:t>
            </w:r>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t>Políticas de apoyo</w:t>
            </w:r>
          </w:p>
        </w:tc>
        <w:tc>
          <w:tcPr>
            <w:tcW w:w="5468" w:type="dxa"/>
          </w:tcPr>
          <w:p w:rsidR="00973057" w:rsidRPr="001F247C" w:rsidRDefault="00973057" w:rsidP="0053230F">
            <w:pPr>
              <w:spacing w:line="276" w:lineRule="auto"/>
              <w:jc w:val="both"/>
              <w:rPr>
                <w:rFonts w:ascii="Arial" w:hAnsi="Arial" w:cs="Arial"/>
                <w:sz w:val="24"/>
                <w:szCs w:val="24"/>
              </w:rPr>
            </w:pPr>
            <w:r w:rsidRPr="001F247C">
              <w:rPr>
                <w:rFonts w:ascii="Arial" w:hAnsi="Arial" w:cs="Arial"/>
                <w:sz w:val="24"/>
                <w:szCs w:val="24"/>
              </w:rPr>
              <w:t>El proyecto a desarrollar a nivel de políticas de apoyo es cien por ciento viable, por su sustentabilidad en las políticas tanto locales como generales que respaldan la protección y el cuidado del medio ambiente, y no solo eso, sino que al estar articulado con las necesidades planteadas en el plan de desarrollo del municipio posibilitará  de manera directa la participación de aquellos cargos públicos, además es claro que a lo que se le apunta en la actualidad es a dejar legado a las futuras generaciones, y ese legado no es más que dejar un ambiente cada vez propicio que apunte a la conservación de los recursos naturales</w:t>
            </w:r>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t>Tecnología adecuada</w:t>
            </w:r>
          </w:p>
        </w:tc>
        <w:tc>
          <w:tcPr>
            <w:tcW w:w="5468" w:type="dxa"/>
          </w:tcPr>
          <w:p w:rsidR="00973057" w:rsidRPr="001F247C" w:rsidRDefault="007C1BC1" w:rsidP="0053230F">
            <w:pPr>
              <w:spacing w:line="276" w:lineRule="auto"/>
              <w:jc w:val="both"/>
              <w:rPr>
                <w:rFonts w:ascii="Arial" w:hAnsi="Arial" w:cs="Arial"/>
                <w:sz w:val="24"/>
                <w:szCs w:val="24"/>
              </w:rPr>
            </w:pPr>
            <w:r w:rsidRPr="001F247C">
              <w:rPr>
                <w:rFonts w:ascii="Arial" w:hAnsi="Arial" w:cs="Arial"/>
                <w:sz w:val="24"/>
                <w:szCs w:val="24"/>
              </w:rPr>
              <w:t xml:space="preserve">Se contará con el apoyo económico necesario que permita invertir en los instrumentos, accesorios, materiales </w:t>
            </w:r>
            <w:r w:rsidR="0053230F" w:rsidRPr="001F247C">
              <w:rPr>
                <w:rFonts w:ascii="Arial" w:hAnsi="Arial" w:cs="Arial"/>
                <w:sz w:val="24"/>
                <w:szCs w:val="24"/>
              </w:rPr>
              <w:t>precisos</w:t>
            </w:r>
            <w:r w:rsidRPr="001F247C">
              <w:rPr>
                <w:rFonts w:ascii="Arial" w:hAnsi="Arial" w:cs="Arial"/>
                <w:sz w:val="24"/>
                <w:szCs w:val="24"/>
              </w:rPr>
              <w:t xml:space="preserve"> para la ejecución del proyecto, ya que se cuenta con los aportes de las empresas, lo cual brinda</w:t>
            </w:r>
            <w:r w:rsidR="0053230F" w:rsidRPr="001F247C">
              <w:rPr>
                <w:rFonts w:ascii="Arial" w:hAnsi="Arial" w:cs="Arial"/>
                <w:sz w:val="24"/>
                <w:szCs w:val="24"/>
              </w:rPr>
              <w:t>ra una estabilidad que asegurará</w:t>
            </w:r>
            <w:r w:rsidRPr="001F247C">
              <w:rPr>
                <w:rFonts w:ascii="Arial" w:hAnsi="Arial" w:cs="Arial"/>
                <w:sz w:val="24"/>
                <w:szCs w:val="24"/>
              </w:rPr>
              <w:t xml:space="preserve"> la continuidad</w:t>
            </w:r>
            <w:r w:rsidR="0053230F" w:rsidRPr="001F247C">
              <w:rPr>
                <w:rFonts w:ascii="Arial" w:hAnsi="Arial" w:cs="Arial"/>
                <w:sz w:val="24"/>
                <w:szCs w:val="24"/>
              </w:rPr>
              <w:t xml:space="preserve"> del mismo</w:t>
            </w:r>
            <w:r w:rsidRPr="001F247C">
              <w:rPr>
                <w:rFonts w:ascii="Arial" w:hAnsi="Arial" w:cs="Arial"/>
                <w:sz w:val="24"/>
                <w:szCs w:val="24"/>
              </w:rPr>
              <w:t xml:space="preserve">. </w:t>
            </w:r>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t>Protección del medio ambiente</w:t>
            </w:r>
          </w:p>
        </w:tc>
        <w:tc>
          <w:tcPr>
            <w:tcW w:w="5468" w:type="dxa"/>
          </w:tcPr>
          <w:p w:rsidR="00973057" w:rsidRPr="001F247C" w:rsidRDefault="007C1BC1" w:rsidP="0053230F">
            <w:pPr>
              <w:spacing w:line="276" w:lineRule="auto"/>
              <w:jc w:val="both"/>
              <w:rPr>
                <w:rFonts w:ascii="Arial" w:hAnsi="Arial" w:cs="Arial"/>
                <w:sz w:val="24"/>
                <w:szCs w:val="24"/>
              </w:rPr>
            </w:pPr>
            <w:r w:rsidRPr="001F247C">
              <w:rPr>
                <w:rFonts w:ascii="Arial" w:hAnsi="Arial" w:cs="Arial"/>
                <w:sz w:val="24"/>
                <w:szCs w:val="24"/>
              </w:rPr>
              <w:t>El proyecto posee una gran viabilidad ya que contribuye a la concientización, motivación y capacitación de una cultura ambiental, generando cambio en las conductas adoptadas frente al cuidado del medio ambiente</w:t>
            </w:r>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t>Aspectos socioculturales</w:t>
            </w:r>
          </w:p>
        </w:tc>
        <w:tc>
          <w:tcPr>
            <w:tcW w:w="5468" w:type="dxa"/>
          </w:tcPr>
          <w:p w:rsidR="00973057" w:rsidRDefault="001F247C" w:rsidP="006C6254">
            <w:pPr>
              <w:spacing w:line="276" w:lineRule="auto"/>
              <w:jc w:val="both"/>
              <w:rPr>
                <w:rStyle w:val="apple-style-span"/>
                <w:rFonts w:ascii="Arial" w:hAnsi="Arial" w:cs="Arial"/>
                <w:color w:val="2A2A2A"/>
                <w:sz w:val="24"/>
                <w:szCs w:val="24"/>
              </w:rPr>
            </w:pPr>
            <w:r w:rsidRPr="006C6254">
              <w:rPr>
                <w:rStyle w:val="apple-style-span"/>
                <w:rFonts w:ascii="Arial" w:hAnsi="Arial" w:cs="Arial"/>
                <w:color w:val="2A2A2A"/>
                <w:sz w:val="24"/>
                <w:szCs w:val="24"/>
              </w:rPr>
              <w:t xml:space="preserve">El proyecto la da una mirada que apunta a la </w:t>
            </w:r>
            <w:r w:rsidRPr="006C6254">
              <w:rPr>
                <w:rStyle w:val="apple-style-span"/>
                <w:rFonts w:ascii="Arial" w:hAnsi="Arial" w:cs="Arial"/>
                <w:color w:val="2A2A2A"/>
                <w:sz w:val="24"/>
                <w:szCs w:val="24"/>
              </w:rPr>
              <w:t>transformación</w:t>
            </w:r>
            <w:r w:rsidRPr="006C6254">
              <w:rPr>
                <w:rStyle w:val="apple-style-span"/>
                <w:rFonts w:ascii="Arial" w:hAnsi="Arial" w:cs="Arial"/>
                <w:color w:val="2A2A2A"/>
                <w:sz w:val="24"/>
                <w:szCs w:val="24"/>
              </w:rPr>
              <w:t xml:space="preserve"> y el desempeño participativo a la comunidad tomando como vital el cambio de </w:t>
            </w:r>
            <w:r w:rsidRPr="006C6254">
              <w:rPr>
                <w:rStyle w:val="apple-style-span"/>
                <w:rFonts w:ascii="Arial" w:hAnsi="Arial" w:cs="Arial"/>
                <w:color w:val="2A2A2A"/>
                <w:sz w:val="24"/>
                <w:szCs w:val="24"/>
              </w:rPr>
              <w:t>consciencia</w:t>
            </w:r>
            <w:r w:rsidRPr="006C6254">
              <w:rPr>
                <w:rStyle w:val="apple-style-span"/>
                <w:rFonts w:ascii="Arial" w:hAnsi="Arial" w:cs="Arial"/>
                <w:color w:val="2A2A2A"/>
                <w:sz w:val="24"/>
                <w:szCs w:val="24"/>
              </w:rPr>
              <w:t xml:space="preserve"> y la potencial manera de aprovechar los recursos naturales </w:t>
            </w:r>
            <w:r w:rsidRPr="006C6254">
              <w:rPr>
                <w:rStyle w:val="apple-style-span"/>
                <w:rFonts w:ascii="Arial" w:hAnsi="Arial" w:cs="Arial"/>
                <w:color w:val="2A2A2A"/>
                <w:sz w:val="24"/>
                <w:szCs w:val="24"/>
              </w:rPr>
              <w:t>dándole</w:t>
            </w:r>
            <w:r w:rsidRPr="006C6254">
              <w:rPr>
                <w:rStyle w:val="apple-style-span"/>
                <w:rFonts w:ascii="Arial" w:hAnsi="Arial" w:cs="Arial"/>
                <w:color w:val="2A2A2A"/>
                <w:sz w:val="24"/>
                <w:szCs w:val="24"/>
              </w:rPr>
              <w:t xml:space="preserve"> a la comunidad unas ideas claras para </w:t>
            </w:r>
            <w:r w:rsidRPr="006C6254">
              <w:rPr>
                <w:rStyle w:val="apple-style-span"/>
                <w:rFonts w:ascii="Arial" w:hAnsi="Arial" w:cs="Arial"/>
                <w:color w:val="2A2A2A"/>
                <w:sz w:val="24"/>
                <w:szCs w:val="24"/>
              </w:rPr>
              <w:t>transformar</w:t>
            </w:r>
            <w:r w:rsidRPr="006C6254">
              <w:rPr>
                <w:rStyle w:val="apple-style-span"/>
                <w:rFonts w:ascii="Arial" w:hAnsi="Arial" w:cs="Arial"/>
                <w:color w:val="2A2A2A"/>
                <w:sz w:val="24"/>
                <w:szCs w:val="24"/>
              </w:rPr>
              <w:t xml:space="preserve"> el ambiente en que viven y se desenvuelven. El proyecto vincula a todas las personas que hacen parte del municipio de Guarne porque acoge fami</w:t>
            </w:r>
            <w:r w:rsidR="006C6254" w:rsidRPr="006C6254">
              <w:rPr>
                <w:rStyle w:val="apple-style-span"/>
                <w:rFonts w:ascii="Arial" w:hAnsi="Arial" w:cs="Arial"/>
                <w:color w:val="2A2A2A"/>
                <w:sz w:val="24"/>
                <w:szCs w:val="24"/>
              </w:rPr>
              <w:t>lias y escuelas y estas a su vez</w:t>
            </w:r>
            <w:r w:rsidRPr="006C6254">
              <w:rPr>
                <w:rStyle w:val="apple-style-span"/>
                <w:rFonts w:ascii="Arial" w:hAnsi="Arial" w:cs="Arial"/>
                <w:color w:val="2A2A2A"/>
                <w:sz w:val="24"/>
                <w:szCs w:val="24"/>
              </w:rPr>
              <w:t xml:space="preserve"> acercan a todos los miembros voluntarios e involuntarios a que se apropien de los recursos y del cuidado del medio ambiente.</w:t>
            </w:r>
          </w:p>
          <w:p w:rsidR="006C6254" w:rsidRPr="006C6254" w:rsidRDefault="006C6254" w:rsidP="006C6254">
            <w:pPr>
              <w:spacing w:line="276" w:lineRule="auto"/>
              <w:jc w:val="both"/>
              <w:rPr>
                <w:rFonts w:ascii="Arial" w:hAnsi="Arial" w:cs="Arial"/>
                <w:sz w:val="24"/>
                <w:szCs w:val="24"/>
              </w:rPr>
            </w:pPr>
            <w:bookmarkStart w:id="0" w:name="_GoBack"/>
            <w:bookmarkEnd w:id="0"/>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lastRenderedPageBreak/>
              <w:t>Mujer y desarrollo</w:t>
            </w:r>
          </w:p>
        </w:tc>
        <w:tc>
          <w:tcPr>
            <w:tcW w:w="5468" w:type="dxa"/>
          </w:tcPr>
          <w:p w:rsidR="006C6254" w:rsidRPr="006C6254" w:rsidRDefault="006C6254" w:rsidP="006C6254">
            <w:pPr>
              <w:jc w:val="both"/>
              <w:rPr>
                <w:rFonts w:ascii="Arial" w:eastAsia="Times New Roman" w:hAnsi="Arial" w:cs="Arial"/>
                <w:color w:val="2A2A2A"/>
                <w:sz w:val="24"/>
                <w:szCs w:val="24"/>
                <w:lang w:eastAsia="es-CO"/>
              </w:rPr>
            </w:pPr>
            <w:r w:rsidRPr="006C6254">
              <w:rPr>
                <w:rFonts w:ascii="Arial" w:eastAsia="Times New Roman" w:hAnsi="Arial" w:cs="Arial"/>
                <w:color w:val="2A2A2A"/>
                <w:sz w:val="24"/>
                <w:szCs w:val="24"/>
                <w:lang w:eastAsia="es-CO"/>
              </w:rPr>
              <w:t>En dicho proyecto la mujer tiene igual participación que los hombres por su desempeño y grandes capacidades para trabajar y transformar, además tiene gran liderazgo y emprendimiento para realizar actividades y seguir con el proyecto con su buen desarrollo y tratando de que las mujeres se vinculen a este. Tanto las mujeres como los hombres tienen igual derechos de participación y liderazgo deben asumir cargos con responsabilidad y gran autonomía.</w:t>
            </w:r>
          </w:p>
          <w:p w:rsidR="00973057" w:rsidRPr="006C6254" w:rsidRDefault="00973057" w:rsidP="006C6254">
            <w:pPr>
              <w:spacing w:line="276" w:lineRule="auto"/>
              <w:jc w:val="both"/>
              <w:rPr>
                <w:rFonts w:ascii="Arial" w:hAnsi="Arial" w:cs="Arial"/>
                <w:sz w:val="24"/>
                <w:szCs w:val="24"/>
              </w:rPr>
            </w:pPr>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t>Capacidad institucional de gestión</w:t>
            </w:r>
          </w:p>
        </w:tc>
        <w:tc>
          <w:tcPr>
            <w:tcW w:w="5468" w:type="dxa"/>
          </w:tcPr>
          <w:p w:rsidR="00973057" w:rsidRPr="001F247C" w:rsidRDefault="007C1BC1" w:rsidP="0053230F">
            <w:pPr>
              <w:spacing w:line="276" w:lineRule="auto"/>
              <w:jc w:val="both"/>
              <w:rPr>
                <w:rFonts w:ascii="Arial" w:hAnsi="Arial" w:cs="Arial"/>
                <w:sz w:val="24"/>
                <w:szCs w:val="24"/>
              </w:rPr>
            </w:pPr>
            <w:r w:rsidRPr="001F247C">
              <w:rPr>
                <w:rFonts w:ascii="Arial" w:hAnsi="Arial" w:cs="Arial"/>
                <w:sz w:val="24"/>
                <w:szCs w:val="24"/>
              </w:rPr>
              <w:t>Se presume que el proyecto tendrá una duración de aproximadamente un año, por lo cual se estima que durante este periodo las instituciones educativas estarán vigilando el sostenimiento y prevalencia de las actividades, En este lapso de tiempo se capacitara y/o vincularan al proyecto las instituciones que brindaran su apoyo, tanto las educativas, como las estatales y empresariales</w:t>
            </w:r>
            <w:r w:rsidRPr="001F247C">
              <w:rPr>
                <w:rFonts w:ascii="Arial" w:hAnsi="Arial" w:cs="Arial"/>
                <w:sz w:val="24"/>
                <w:szCs w:val="24"/>
              </w:rPr>
              <w:t>.</w:t>
            </w:r>
          </w:p>
          <w:p w:rsidR="001F247C" w:rsidRPr="001F247C" w:rsidRDefault="007C1BC1" w:rsidP="001F247C">
            <w:pPr>
              <w:spacing w:line="276" w:lineRule="auto"/>
              <w:jc w:val="both"/>
              <w:rPr>
                <w:rFonts w:ascii="Arial" w:hAnsi="Arial" w:cs="Arial"/>
                <w:sz w:val="24"/>
                <w:szCs w:val="24"/>
              </w:rPr>
            </w:pPr>
            <w:r w:rsidRPr="001F247C">
              <w:rPr>
                <w:rFonts w:ascii="Arial" w:hAnsi="Arial" w:cs="Arial"/>
                <w:sz w:val="24"/>
                <w:szCs w:val="24"/>
              </w:rPr>
              <w:t>Además se hace necesario hacer cumplir la ley</w:t>
            </w:r>
            <w:r w:rsidR="001F247C" w:rsidRPr="001F247C">
              <w:rPr>
                <w:rFonts w:ascii="Arial" w:hAnsi="Arial" w:cs="Arial"/>
                <w:sz w:val="24"/>
                <w:szCs w:val="24"/>
              </w:rPr>
              <w:t>.</w:t>
            </w:r>
            <w:r w:rsidR="001F247C" w:rsidRPr="001F247C">
              <w:rPr>
                <w:rFonts w:ascii="Arial" w:hAnsi="Arial" w:cs="Arial"/>
                <w:sz w:val="24"/>
                <w:szCs w:val="24"/>
              </w:rPr>
              <w:t xml:space="preserve"> El artículo </w:t>
            </w:r>
            <w:hyperlink r:id="rId5" w:history="1">
              <w:r w:rsidR="001F247C" w:rsidRPr="001F247C">
                <w:rPr>
                  <w:rStyle w:val="Hipervnculo"/>
                  <w:rFonts w:ascii="Arial" w:hAnsi="Arial" w:cs="Arial"/>
                  <w:color w:val="0000FF"/>
                  <w:sz w:val="24"/>
                  <w:szCs w:val="24"/>
                </w:rPr>
                <w:t>15</w:t>
              </w:r>
            </w:hyperlink>
            <w:r w:rsidR="001F247C" w:rsidRPr="001F247C">
              <w:rPr>
                <w:rFonts w:ascii="Arial" w:hAnsi="Arial" w:cs="Arial"/>
                <w:sz w:val="24"/>
                <w:szCs w:val="24"/>
              </w:rPr>
              <w:t xml:space="preserve"> de l</w:t>
            </w:r>
            <w:r w:rsidR="001F247C" w:rsidRPr="001F247C">
              <w:rPr>
                <w:rFonts w:ascii="Arial" w:hAnsi="Arial" w:cs="Arial"/>
                <w:sz w:val="24"/>
                <w:szCs w:val="24"/>
              </w:rPr>
              <w:t>a Ley 141 de 1994.</w:t>
            </w:r>
            <w:r w:rsidR="001F247C" w:rsidRPr="001F247C">
              <w:rPr>
                <w:rFonts w:ascii="Arial" w:hAnsi="Arial" w:cs="Arial"/>
                <w:sz w:val="24"/>
                <w:szCs w:val="24"/>
              </w:rPr>
              <w:t xml:space="preserve"> Utilización por los municipios de las participaciones establecidas en esta ley. </w:t>
            </w:r>
          </w:p>
          <w:p w:rsidR="001F247C" w:rsidRPr="001F247C" w:rsidRDefault="001F247C" w:rsidP="001F247C">
            <w:pPr>
              <w:widowControl w:val="0"/>
              <w:autoSpaceDE w:val="0"/>
              <w:autoSpaceDN w:val="0"/>
              <w:adjustRightInd w:val="0"/>
              <w:spacing w:before="100" w:after="100"/>
              <w:jc w:val="both"/>
              <w:rPr>
                <w:rFonts w:ascii="Arial" w:hAnsi="Arial" w:cs="Arial"/>
                <w:sz w:val="24"/>
                <w:szCs w:val="24"/>
              </w:rPr>
            </w:pPr>
            <w:r w:rsidRPr="001F247C">
              <w:rPr>
                <w:rFonts w:ascii="Arial" w:hAnsi="Arial" w:cs="Arial"/>
                <w:sz w:val="24"/>
                <w:szCs w:val="24"/>
              </w:rPr>
              <w:t xml:space="preserve">Los recursos de regalías y compensaciones monetarias distribuidos a los municipios productores y a los municipios portuarios, tendrán la siguiente destinación: </w:t>
            </w:r>
          </w:p>
          <w:p w:rsidR="001F247C" w:rsidRPr="001F247C" w:rsidRDefault="001F247C" w:rsidP="001F247C">
            <w:pPr>
              <w:widowControl w:val="0"/>
              <w:autoSpaceDE w:val="0"/>
              <w:autoSpaceDN w:val="0"/>
              <w:adjustRightInd w:val="0"/>
              <w:spacing w:before="100" w:after="100"/>
              <w:jc w:val="both"/>
              <w:rPr>
                <w:rFonts w:ascii="Arial" w:hAnsi="Arial" w:cs="Arial"/>
                <w:sz w:val="24"/>
                <w:szCs w:val="24"/>
              </w:rPr>
            </w:pPr>
            <w:r w:rsidRPr="001F247C">
              <w:rPr>
                <w:rFonts w:ascii="Arial" w:hAnsi="Arial" w:cs="Arial"/>
                <w:sz w:val="24"/>
                <w:szCs w:val="24"/>
              </w:rPr>
              <w:t xml:space="preserve">a) El noventa por ciento (90%) a inversión en proyectos de desarrollo Municipal y Distrital, contenidos en el Plan de desarrollo, con prioridad para aquellos dirigidos a la construcción, mantenimiento y mejoramiento de la red terciaria a cargo de las entidades territoriales, proyectos productivos, saneamiento ambiental y para los destinados en inversiones en los servicios de salud, educación básica, media y superior pública, electricidad, agua potable, alcantarillado y demás servicios públicos básicos esenciales, sin perjuicio de lo establecido en el artículo </w:t>
            </w:r>
            <w:hyperlink r:id="rId6" w:history="1">
              <w:r w:rsidRPr="001F247C">
                <w:rPr>
                  <w:rStyle w:val="Hipervnculo"/>
                  <w:rFonts w:ascii="Arial" w:hAnsi="Arial" w:cs="Arial"/>
                  <w:color w:val="0000FF"/>
                  <w:sz w:val="24"/>
                  <w:szCs w:val="24"/>
                </w:rPr>
                <w:t>129</w:t>
              </w:r>
            </w:hyperlink>
            <w:r w:rsidRPr="001F247C">
              <w:rPr>
                <w:rFonts w:ascii="Arial" w:hAnsi="Arial" w:cs="Arial"/>
                <w:sz w:val="24"/>
                <w:szCs w:val="24"/>
              </w:rPr>
              <w:t xml:space="preserve"> del Código de Minas (Ley 685 de 2001). De este porcentaje, las entidades beneficiarias deben destinar como </w:t>
            </w:r>
            <w:r w:rsidRPr="001F247C">
              <w:rPr>
                <w:rFonts w:ascii="Arial" w:hAnsi="Arial" w:cs="Arial"/>
                <w:sz w:val="24"/>
                <w:szCs w:val="24"/>
              </w:rPr>
              <w:lastRenderedPageBreak/>
              <w:t>mínimo el uno por ciento (1%) de estos recursos a Proyectos de inversión en nutrición y seguridad alimentaria para lo cual suscribirán convenios interadministrativos con el Instituto Colombiano de Bienestar Familiar – ICBF;</w:t>
            </w:r>
          </w:p>
          <w:p w:rsidR="001F247C" w:rsidRPr="001F247C" w:rsidRDefault="001F247C" w:rsidP="001F247C">
            <w:pPr>
              <w:widowControl w:val="0"/>
              <w:autoSpaceDE w:val="0"/>
              <w:autoSpaceDN w:val="0"/>
              <w:adjustRightInd w:val="0"/>
              <w:rPr>
                <w:rFonts w:ascii="Arial" w:hAnsi="Arial" w:cs="Arial"/>
                <w:sz w:val="24"/>
                <w:szCs w:val="24"/>
                <w:lang w:val="es-ES"/>
              </w:rPr>
            </w:pPr>
          </w:p>
          <w:p w:rsidR="001F247C" w:rsidRPr="001F247C" w:rsidRDefault="001F247C" w:rsidP="0053230F">
            <w:pPr>
              <w:spacing w:line="276" w:lineRule="auto"/>
              <w:jc w:val="both"/>
              <w:rPr>
                <w:rFonts w:ascii="Arial" w:hAnsi="Arial" w:cs="Arial"/>
                <w:sz w:val="24"/>
                <w:szCs w:val="24"/>
              </w:rPr>
            </w:pPr>
          </w:p>
        </w:tc>
      </w:tr>
      <w:tr w:rsidR="00973057" w:rsidRPr="001F247C" w:rsidTr="00973057">
        <w:tc>
          <w:tcPr>
            <w:tcW w:w="3510" w:type="dxa"/>
          </w:tcPr>
          <w:p w:rsidR="00973057" w:rsidRPr="001F247C" w:rsidRDefault="00973057" w:rsidP="0053230F">
            <w:pPr>
              <w:spacing w:line="276" w:lineRule="auto"/>
              <w:rPr>
                <w:rFonts w:ascii="Arial" w:hAnsi="Arial" w:cs="Arial"/>
                <w:sz w:val="24"/>
                <w:szCs w:val="24"/>
              </w:rPr>
            </w:pPr>
            <w:r w:rsidRPr="001F247C">
              <w:rPr>
                <w:rFonts w:ascii="Arial" w:hAnsi="Arial" w:cs="Arial"/>
                <w:b/>
                <w:bCs/>
                <w:sz w:val="24"/>
                <w:szCs w:val="24"/>
              </w:rPr>
              <w:lastRenderedPageBreak/>
              <w:t>Fa</w:t>
            </w:r>
            <w:r w:rsidRPr="001F247C">
              <w:rPr>
                <w:rFonts w:ascii="Arial" w:hAnsi="Arial" w:cs="Arial"/>
                <w:b/>
                <w:bCs/>
                <w:sz w:val="24"/>
                <w:szCs w:val="24"/>
              </w:rPr>
              <w:t>ctores económicos y financieros</w:t>
            </w:r>
          </w:p>
        </w:tc>
        <w:tc>
          <w:tcPr>
            <w:tcW w:w="5468" w:type="dxa"/>
          </w:tcPr>
          <w:p w:rsidR="007C1BC1" w:rsidRPr="001F247C" w:rsidRDefault="007C1BC1" w:rsidP="0053230F">
            <w:pPr>
              <w:spacing w:line="276" w:lineRule="auto"/>
              <w:jc w:val="both"/>
              <w:rPr>
                <w:rFonts w:ascii="Arial" w:hAnsi="Arial" w:cs="Arial"/>
                <w:sz w:val="24"/>
                <w:szCs w:val="24"/>
              </w:rPr>
            </w:pPr>
            <w:r w:rsidRPr="001F247C">
              <w:rPr>
                <w:rFonts w:ascii="Arial" w:hAnsi="Arial" w:cs="Arial"/>
                <w:sz w:val="24"/>
                <w:szCs w:val="24"/>
              </w:rPr>
              <w:t xml:space="preserve">Teniendo en cuenta que si se logra vincular a todas aquellas empresas aledañas al municipio, además de la participación municipal, se contara con los recursos económicos para los costos de operación no solo del año de inicio del proyecto sino también de los siguientes años, ya que este es un proyecto de vital interés para la comunidad, lo que a su vez asegura su continuidad. </w:t>
            </w:r>
          </w:p>
          <w:p w:rsidR="00973057" w:rsidRPr="001F247C" w:rsidRDefault="00973057" w:rsidP="0053230F">
            <w:pPr>
              <w:spacing w:line="276" w:lineRule="auto"/>
              <w:jc w:val="both"/>
              <w:rPr>
                <w:rFonts w:ascii="Arial" w:hAnsi="Arial" w:cs="Arial"/>
                <w:sz w:val="24"/>
                <w:szCs w:val="24"/>
              </w:rPr>
            </w:pPr>
          </w:p>
        </w:tc>
      </w:tr>
    </w:tbl>
    <w:p w:rsidR="00A51906" w:rsidRPr="001F247C" w:rsidRDefault="00A51906" w:rsidP="0053230F">
      <w:pPr>
        <w:rPr>
          <w:rFonts w:ascii="Arial" w:hAnsi="Arial" w:cs="Arial"/>
          <w:sz w:val="24"/>
          <w:szCs w:val="24"/>
        </w:rPr>
      </w:pPr>
    </w:p>
    <w:sectPr w:rsidR="00A51906" w:rsidRPr="001F24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57"/>
    <w:rsid w:val="001F247C"/>
    <w:rsid w:val="0053230F"/>
    <w:rsid w:val="006C6254"/>
    <w:rsid w:val="007C1BC1"/>
    <w:rsid w:val="00973057"/>
    <w:rsid w:val="00A519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3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F247C"/>
    <w:rPr>
      <w:color w:val="0000FF" w:themeColor="hyperlink"/>
      <w:u w:val="single"/>
    </w:rPr>
  </w:style>
  <w:style w:type="character" w:customStyle="1" w:styleId="apple-style-span">
    <w:name w:val="apple-style-span"/>
    <w:basedOn w:val="Fuentedeprrafopredeter"/>
    <w:rsid w:val="001F2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3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F247C"/>
    <w:rPr>
      <w:color w:val="0000FF" w:themeColor="hyperlink"/>
      <w:u w:val="single"/>
    </w:rPr>
  </w:style>
  <w:style w:type="character" w:customStyle="1" w:styleId="apple-style-span">
    <w:name w:val="apple-style-span"/>
    <w:basedOn w:val="Fuentedeprrafopredeter"/>
    <w:rsid w:val="001F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393390">
      <w:bodyDiv w:val="1"/>
      <w:marLeft w:val="0"/>
      <w:marRight w:val="0"/>
      <w:marTop w:val="0"/>
      <w:marBottom w:val="0"/>
      <w:divBdr>
        <w:top w:val="none" w:sz="0" w:space="0" w:color="auto"/>
        <w:left w:val="none" w:sz="0" w:space="0" w:color="auto"/>
        <w:bottom w:val="none" w:sz="0" w:space="0" w:color="auto"/>
        <w:right w:val="none" w:sz="0" w:space="0" w:color="auto"/>
      </w:divBdr>
      <w:divsChild>
        <w:div w:id="1768498067">
          <w:marLeft w:val="0"/>
          <w:marRight w:val="0"/>
          <w:marTop w:val="0"/>
          <w:marBottom w:val="0"/>
          <w:divBdr>
            <w:top w:val="none" w:sz="0" w:space="0" w:color="auto"/>
            <w:left w:val="none" w:sz="0" w:space="0" w:color="auto"/>
            <w:bottom w:val="none" w:sz="0" w:space="0" w:color="auto"/>
            <w:right w:val="none" w:sz="0" w:space="0" w:color="auto"/>
          </w:divBdr>
          <w:divsChild>
            <w:div w:id="992369409">
              <w:marLeft w:val="0"/>
              <w:marRight w:val="0"/>
              <w:marTop w:val="0"/>
              <w:marBottom w:val="0"/>
              <w:divBdr>
                <w:top w:val="none" w:sz="0" w:space="0" w:color="auto"/>
                <w:left w:val="none" w:sz="0" w:space="0" w:color="auto"/>
                <w:bottom w:val="none" w:sz="0" w:space="0" w:color="auto"/>
                <w:right w:val="none" w:sz="0" w:space="0" w:color="auto"/>
              </w:divBdr>
              <w:divsChild>
                <w:div w:id="1084493786">
                  <w:marLeft w:val="0"/>
                  <w:marRight w:val="0"/>
                  <w:marTop w:val="0"/>
                  <w:marBottom w:val="0"/>
                  <w:divBdr>
                    <w:top w:val="none" w:sz="0" w:space="0" w:color="auto"/>
                    <w:left w:val="none" w:sz="0" w:space="0" w:color="auto"/>
                    <w:bottom w:val="none" w:sz="0" w:space="0" w:color="auto"/>
                    <w:right w:val="none" w:sz="0" w:space="0" w:color="auto"/>
                  </w:divBdr>
                  <w:divsChild>
                    <w:div w:id="13191151">
                      <w:marLeft w:val="180"/>
                      <w:marRight w:val="180"/>
                      <w:marTop w:val="0"/>
                      <w:marBottom w:val="0"/>
                      <w:divBdr>
                        <w:top w:val="none" w:sz="0" w:space="0" w:color="auto"/>
                        <w:left w:val="none" w:sz="0" w:space="0" w:color="auto"/>
                        <w:bottom w:val="none" w:sz="0" w:space="0" w:color="auto"/>
                        <w:right w:val="none" w:sz="0" w:space="0" w:color="auto"/>
                      </w:divBdr>
                      <w:divsChild>
                        <w:div w:id="7856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senado\basedoc\ley\2001\ley_0685_2001_pr003.html" TargetMode="External"/><Relationship Id="rId5" Type="http://schemas.openxmlformats.org/officeDocument/2006/relationships/hyperlink" Target="file:///C:\senado\basedoc\ley\1994\ley_0141_1994.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691</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1</cp:revision>
  <dcterms:created xsi:type="dcterms:W3CDTF">2011-05-18T23:27:00Z</dcterms:created>
  <dcterms:modified xsi:type="dcterms:W3CDTF">2011-05-19T01:30:00Z</dcterms:modified>
</cp:coreProperties>
</file>